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D488" w14:textId="02CA16F0" w:rsidR="0037385F" w:rsidRPr="00DE3687" w:rsidRDefault="0037385F" w:rsidP="0037385F">
      <w:pPr>
        <w:spacing w:line="360" w:lineRule="auto"/>
        <w:ind w:left="118" w:right="116" w:firstLine="3"/>
        <w:jc w:val="center"/>
        <w:rPr>
          <w:rFonts w:ascii="Source Sans Pro" w:hAnsi="Source Sans Pro"/>
          <w:b/>
          <w:bCs/>
          <w:sz w:val="24"/>
          <w:szCs w:val="24"/>
        </w:rPr>
      </w:pPr>
      <w:r w:rsidRPr="00DE3687">
        <w:rPr>
          <w:rFonts w:ascii="Source Sans Pro" w:hAnsi="Source Sans Pro"/>
          <w:b/>
          <w:bCs/>
          <w:sz w:val="24"/>
          <w:szCs w:val="24"/>
        </w:rPr>
        <w:t>Sistema de incentivos "Empresas 4.0"</w:t>
      </w:r>
    </w:p>
    <w:p w14:paraId="1DDEAB23" w14:textId="5F2E5670" w:rsidR="0037385F" w:rsidRPr="00DE3687" w:rsidRDefault="0007795B" w:rsidP="0037385F">
      <w:pPr>
        <w:spacing w:line="360" w:lineRule="auto"/>
        <w:ind w:left="118" w:right="116" w:firstLine="3"/>
        <w:jc w:val="center"/>
        <w:rPr>
          <w:rFonts w:ascii="Source Sans Pro" w:hAnsi="Source Sans Pro"/>
          <w:b/>
          <w:bCs/>
          <w:sz w:val="24"/>
          <w:szCs w:val="24"/>
        </w:rPr>
      </w:pPr>
      <w:r w:rsidRPr="00DE3687">
        <w:rPr>
          <w:rFonts w:ascii="Source Sans Pro" w:hAnsi="Source Sans Pro"/>
          <w:b/>
          <w:bCs/>
          <w:sz w:val="24"/>
          <w:szCs w:val="24"/>
        </w:rPr>
        <w:t>Aviso N.º 02/C11-i01/2022 - Apoio à Descarbonização da Indústria</w:t>
      </w:r>
    </w:p>
    <w:p w14:paraId="12C5EE48" w14:textId="77777777" w:rsidR="004A264C" w:rsidRPr="00DE3687" w:rsidRDefault="004A264C" w:rsidP="004A264C">
      <w:pPr>
        <w:spacing w:line="360" w:lineRule="auto"/>
        <w:ind w:left="118" w:right="116" w:firstLine="3"/>
        <w:jc w:val="both"/>
        <w:rPr>
          <w:rFonts w:ascii="Source Sans Pro" w:hAnsi="Source Sans Pro"/>
          <w:sz w:val="24"/>
          <w:szCs w:val="24"/>
        </w:rPr>
      </w:pPr>
    </w:p>
    <w:p w14:paraId="1E841417" w14:textId="622264D8" w:rsidR="0037385F" w:rsidRPr="00DE3687" w:rsidRDefault="0037385F" w:rsidP="0037385F">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Entidade beneficiária:</w:t>
      </w:r>
      <w:r w:rsidRPr="00DE3687">
        <w:rPr>
          <w:rFonts w:ascii="Source Sans Pro" w:hAnsi="Source Sans Pro"/>
          <w:sz w:val="24"/>
          <w:szCs w:val="24"/>
        </w:rPr>
        <w:t xml:space="preserve"> </w:t>
      </w:r>
      <w:r w:rsidR="00553B31" w:rsidRPr="00DE3687">
        <w:rPr>
          <w:rFonts w:ascii="Source Sans Pro" w:hAnsi="Source Sans Pro"/>
          <w:sz w:val="24"/>
          <w:szCs w:val="24"/>
        </w:rPr>
        <w:t>Moda 21 – Tinturaria e Acabamentos Têxteis, S.A</w:t>
      </w:r>
      <w:r w:rsidRPr="00DE3687">
        <w:rPr>
          <w:rFonts w:ascii="Source Sans Pro" w:hAnsi="Source Sans Pro"/>
          <w:sz w:val="24"/>
          <w:szCs w:val="24"/>
        </w:rPr>
        <w:t>.</w:t>
      </w:r>
    </w:p>
    <w:p w14:paraId="060064DF" w14:textId="32EEFB7A" w:rsidR="004A264C" w:rsidRPr="00DE3687" w:rsidRDefault="004A264C"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Designação do projeto:</w:t>
      </w:r>
      <w:r w:rsidRPr="00DE3687">
        <w:rPr>
          <w:rFonts w:ascii="Source Sans Pro" w:hAnsi="Source Sans Pro"/>
          <w:sz w:val="24"/>
          <w:szCs w:val="24"/>
        </w:rPr>
        <w:t xml:space="preserve"> </w:t>
      </w:r>
      <w:r w:rsidR="0007795B" w:rsidRPr="00DE3687">
        <w:rPr>
          <w:rFonts w:ascii="Source Sans Pro" w:hAnsi="Source Sans Pro"/>
          <w:sz w:val="24"/>
          <w:szCs w:val="24"/>
        </w:rPr>
        <w:t>C11 - Descarbonização da atividade da Moda 21</w:t>
      </w:r>
    </w:p>
    <w:p w14:paraId="6FA4F503" w14:textId="5BB2115C" w:rsidR="004A264C" w:rsidRPr="00DE3687" w:rsidRDefault="0037385F"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Nº</w:t>
      </w:r>
      <w:r w:rsidR="004A264C" w:rsidRPr="00DE3687">
        <w:rPr>
          <w:rFonts w:ascii="Source Sans Pro" w:hAnsi="Source Sans Pro"/>
          <w:b/>
          <w:bCs/>
          <w:sz w:val="24"/>
          <w:szCs w:val="24"/>
        </w:rPr>
        <w:t xml:space="preserve"> projeto:</w:t>
      </w:r>
      <w:r w:rsidR="004A264C" w:rsidRPr="00DE3687">
        <w:rPr>
          <w:rFonts w:ascii="Source Sans Pro" w:hAnsi="Source Sans Pro"/>
          <w:sz w:val="24"/>
          <w:szCs w:val="24"/>
        </w:rPr>
        <w:t xml:space="preserve"> </w:t>
      </w:r>
      <w:r w:rsidR="0007795B" w:rsidRPr="00DE3687">
        <w:rPr>
          <w:rFonts w:ascii="Source Sans Pro" w:hAnsi="Source Sans Pro"/>
          <w:sz w:val="24"/>
          <w:szCs w:val="24"/>
        </w:rPr>
        <w:t>441</w:t>
      </w:r>
    </w:p>
    <w:p w14:paraId="263F235D" w14:textId="2D8F45AA" w:rsidR="004A264C" w:rsidRPr="00DE3687" w:rsidRDefault="004A264C"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Região de intervenção:</w:t>
      </w:r>
      <w:r w:rsidRPr="00DE3687">
        <w:rPr>
          <w:rFonts w:ascii="Source Sans Pro" w:hAnsi="Source Sans Pro"/>
          <w:sz w:val="24"/>
          <w:szCs w:val="24"/>
        </w:rPr>
        <w:t xml:space="preserve"> </w:t>
      </w:r>
      <w:r w:rsidR="0037385F" w:rsidRPr="00DE3687">
        <w:rPr>
          <w:rFonts w:ascii="Source Sans Pro" w:hAnsi="Source Sans Pro"/>
          <w:sz w:val="24"/>
          <w:szCs w:val="24"/>
        </w:rPr>
        <w:t xml:space="preserve">Norte </w:t>
      </w:r>
      <w:r w:rsidRPr="00DE3687">
        <w:rPr>
          <w:rFonts w:ascii="Source Sans Pro" w:hAnsi="Source Sans Pro"/>
          <w:sz w:val="24"/>
          <w:szCs w:val="24"/>
        </w:rPr>
        <w:t xml:space="preserve">– </w:t>
      </w:r>
      <w:r w:rsidR="00553B31" w:rsidRPr="00DE3687">
        <w:rPr>
          <w:rFonts w:ascii="Source Sans Pro" w:hAnsi="Source Sans Pro"/>
          <w:sz w:val="24"/>
          <w:szCs w:val="24"/>
        </w:rPr>
        <w:t>Braga</w:t>
      </w:r>
    </w:p>
    <w:p w14:paraId="2B5C571F" w14:textId="77777777" w:rsidR="004A264C" w:rsidRPr="00DE3687" w:rsidRDefault="004A264C" w:rsidP="004A264C">
      <w:pPr>
        <w:spacing w:line="360" w:lineRule="auto"/>
        <w:ind w:left="118" w:right="116" w:firstLine="3"/>
        <w:jc w:val="both"/>
        <w:rPr>
          <w:rFonts w:ascii="Source Sans Pro" w:hAnsi="Source Sans Pro"/>
          <w:sz w:val="24"/>
          <w:szCs w:val="24"/>
        </w:rPr>
      </w:pPr>
    </w:p>
    <w:p w14:paraId="10871921" w14:textId="7E5128EA" w:rsidR="004A264C" w:rsidRPr="00DE3687" w:rsidRDefault="004A264C"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Data de aprovação:</w:t>
      </w:r>
      <w:r w:rsidRPr="00DE3687">
        <w:rPr>
          <w:rFonts w:ascii="Source Sans Pro" w:hAnsi="Source Sans Pro"/>
          <w:sz w:val="24"/>
          <w:szCs w:val="24"/>
        </w:rPr>
        <w:t xml:space="preserve"> </w:t>
      </w:r>
      <w:r w:rsidR="00DE3687">
        <w:rPr>
          <w:rFonts w:ascii="Source Sans Pro" w:hAnsi="Source Sans Pro"/>
          <w:sz w:val="24"/>
          <w:szCs w:val="24"/>
        </w:rPr>
        <w:t>26</w:t>
      </w:r>
      <w:r w:rsidRPr="00DE3687">
        <w:rPr>
          <w:rFonts w:ascii="Source Sans Pro" w:hAnsi="Source Sans Pro"/>
          <w:sz w:val="24"/>
          <w:szCs w:val="24"/>
        </w:rPr>
        <w:t>/0</w:t>
      </w:r>
      <w:r w:rsidR="00DE3687">
        <w:rPr>
          <w:rFonts w:ascii="Source Sans Pro" w:hAnsi="Source Sans Pro"/>
          <w:sz w:val="24"/>
          <w:szCs w:val="24"/>
        </w:rPr>
        <w:t>7</w:t>
      </w:r>
      <w:r w:rsidRPr="00DE3687">
        <w:rPr>
          <w:rFonts w:ascii="Source Sans Pro" w:hAnsi="Source Sans Pro"/>
          <w:sz w:val="24"/>
          <w:szCs w:val="24"/>
        </w:rPr>
        <w:t>/202</w:t>
      </w:r>
      <w:r w:rsidR="00DE3687">
        <w:rPr>
          <w:rFonts w:ascii="Source Sans Pro" w:hAnsi="Source Sans Pro"/>
          <w:sz w:val="24"/>
          <w:szCs w:val="24"/>
        </w:rPr>
        <w:t>3</w:t>
      </w:r>
    </w:p>
    <w:p w14:paraId="29DBCACD" w14:textId="57DF6419" w:rsidR="004A264C" w:rsidRPr="00DE3687" w:rsidRDefault="004A264C"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Data de início:</w:t>
      </w:r>
      <w:r w:rsidRPr="00DE3687">
        <w:rPr>
          <w:rFonts w:ascii="Source Sans Pro" w:hAnsi="Source Sans Pro"/>
          <w:sz w:val="24"/>
          <w:szCs w:val="24"/>
        </w:rPr>
        <w:t xml:space="preserve"> 0</w:t>
      </w:r>
      <w:r w:rsidR="00553B31" w:rsidRPr="00DE3687">
        <w:rPr>
          <w:rFonts w:ascii="Source Sans Pro" w:hAnsi="Source Sans Pro"/>
          <w:sz w:val="24"/>
          <w:szCs w:val="24"/>
        </w:rPr>
        <w:t>1</w:t>
      </w:r>
      <w:r w:rsidRPr="00DE3687">
        <w:rPr>
          <w:rFonts w:ascii="Source Sans Pro" w:hAnsi="Source Sans Pro"/>
          <w:sz w:val="24"/>
          <w:szCs w:val="24"/>
        </w:rPr>
        <w:t>/0</w:t>
      </w:r>
      <w:r w:rsidR="00DE3687">
        <w:rPr>
          <w:rFonts w:ascii="Source Sans Pro" w:hAnsi="Source Sans Pro"/>
          <w:sz w:val="24"/>
          <w:szCs w:val="24"/>
        </w:rPr>
        <w:t>8</w:t>
      </w:r>
      <w:r w:rsidRPr="00DE3687">
        <w:rPr>
          <w:rFonts w:ascii="Source Sans Pro" w:hAnsi="Source Sans Pro"/>
          <w:sz w:val="24"/>
          <w:szCs w:val="24"/>
        </w:rPr>
        <w:t>/20</w:t>
      </w:r>
      <w:r w:rsidR="00DE3687">
        <w:rPr>
          <w:rFonts w:ascii="Source Sans Pro" w:hAnsi="Source Sans Pro"/>
          <w:sz w:val="24"/>
          <w:szCs w:val="24"/>
        </w:rPr>
        <w:t>22</w:t>
      </w:r>
    </w:p>
    <w:p w14:paraId="6FFFDCB5" w14:textId="7ADA28E1" w:rsidR="004A264C" w:rsidRPr="00DE3687" w:rsidRDefault="004A264C"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Data de conclusão:</w:t>
      </w:r>
      <w:r w:rsidRPr="00DE3687">
        <w:rPr>
          <w:rFonts w:ascii="Source Sans Pro" w:hAnsi="Source Sans Pro"/>
          <w:sz w:val="24"/>
          <w:szCs w:val="24"/>
        </w:rPr>
        <w:t xml:space="preserve"> </w:t>
      </w:r>
      <w:r w:rsidR="00DE3687">
        <w:rPr>
          <w:rFonts w:ascii="Source Sans Pro" w:hAnsi="Source Sans Pro"/>
          <w:sz w:val="24"/>
          <w:szCs w:val="24"/>
        </w:rPr>
        <w:t>22/08</w:t>
      </w:r>
      <w:r w:rsidRPr="00DE3687">
        <w:rPr>
          <w:rFonts w:ascii="Source Sans Pro" w:hAnsi="Source Sans Pro"/>
          <w:sz w:val="24"/>
          <w:szCs w:val="24"/>
        </w:rPr>
        <w:t>/20</w:t>
      </w:r>
      <w:r w:rsidR="00DE3687">
        <w:rPr>
          <w:rFonts w:ascii="Source Sans Pro" w:hAnsi="Source Sans Pro"/>
          <w:sz w:val="24"/>
          <w:szCs w:val="24"/>
        </w:rPr>
        <w:t>25</w:t>
      </w:r>
    </w:p>
    <w:p w14:paraId="45C2FB79" w14:textId="677C29BA" w:rsidR="004A264C" w:rsidRPr="00DE3687" w:rsidRDefault="004A264C"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Custo elegível:</w:t>
      </w:r>
      <w:r w:rsidRPr="00DE3687">
        <w:rPr>
          <w:rFonts w:ascii="Source Sans Pro" w:hAnsi="Source Sans Pro"/>
          <w:sz w:val="24"/>
          <w:szCs w:val="24"/>
        </w:rPr>
        <w:t xml:space="preserve"> </w:t>
      </w:r>
      <w:r w:rsidR="00DE3687">
        <w:rPr>
          <w:rFonts w:ascii="Source Sans Pro" w:hAnsi="Source Sans Pro"/>
          <w:sz w:val="24"/>
          <w:szCs w:val="24"/>
        </w:rPr>
        <w:t>1.703.862,40</w:t>
      </w:r>
      <w:r w:rsidRPr="00DE3687">
        <w:rPr>
          <w:rFonts w:ascii="Source Sans Pro" w:hAnsi="Source Sans Pro"/>
          <w:sz w:val="24"/>
          <w:szCs w:val="24"/>
        </w:rPr>
        <w:t xml:space="preserve"> EUR</w:t>
      </w:r>
    </w:p>
    <w:p w14:paraId="3194EACF" w14:textId="2C558069" w:rsidR="00ED06B0" w:rsidRPr="00DE3687" w:rsidRDefault="004A264C" w:rsidP="004A264C">
      <w:pPr>
        <w:spacing w:line="360" w:lineRule="auto"/>
        <w:ind w:left="118" w:right="116" w:firstLine="3"/>
        <w:jc w:val="both"/>
        <w:rPr>
          <w:rFonts w:ascii="Source Sans Pro" w:hAnsi="Source Sans Pro"/>
          <w:sz w:val="24"/>
          <w:szCs w:val="24"/>
        </w:rPr>
      </w:pPr>
      <w:r w:rsidRPr="00DE3687">
        <w:rPr>
          <w:rFonts w:ascii="Source Sans Pro" w:hAnsi="Source Sans Pro"/>
          <w:b/>
          <w:bCs/>
          <w:sz w:val="24"/>
          <w:szCs w:val="24"/>
        </w:rPr>
        <w:t>Apoio atribuído:</w:t>
      </w:r>
      <w:r w:rsidRPr="00DE3687">
        <w:rPr>
          <w:rFonts w:ascii="Source Sans Pro" w:hAnsi="Source Sans Pro"/>
          <w:sz w:val="24"/>
          <w:szCs w:val="24"/>
        </w:rPr>
        <w:t xml:space="preserve"> </w:t>
      </w:r>
      <w:r w:rsidR="00DE3687">
        <w:rPr>
          <w:rFonts w:ascii="Source Sans Pro" w:hAnsi="Source Sans Pro"/>
          <w:sz w:val="24"/>
          <w:szCs w:val="24"/>
        </w:rPr>
        <w:t>94</w:t>
      </w:r>
      <w:r w:rsidR="00553B31" w:rsidRPr="00DE3687">
        <w:rPr>
          <w:rFonts w:ascii="Source Sans Pro" w:hAnsi="Source Sans Pro"/>
          <w:sz w:val="24"/>
          <w:szCs w:val="24"/>
        </w:rPr>
        <w:t>0</w:t>
      </w:r>
      <w:r w:rsidRPr="00DE3687">
        <w:rPr>
          <w:rFonts w:ascii="Source Sans Pro" w:hAnsi="Source Sans Pro"/>
          <w:sz w:val="24"/>
          <w:szCs w:val="24"/>
        </w:rPr>
        <w:t>.</w:t>
      </w:r>
      <w:r w:rsidR="00DE3687">
        <w:rPr>
          <w:rFonts w:ascii="Source Sans Pro" w:hAnsi="Source Sans Pro"/>
          <w:sz w:val="24"/>
          <w:szCs w:val="24"/>
        </w:rPr>
        <w:t>974</w:t>
      </w:r>
      <w:r w:rsidRPr="00DE3687">
        <w:rPr>
          <w:rFonts w:ascii="Source Sans Pro" w:hAnsi="Source Sans Pro"/>
          <w:sz w:val="24"/>
          <w:szCs w:val="24"/>
        </w:rPr>
        <w:t>,</w:t>
      </w:r>
      <w:r w:rsidR="00DE3687">
        <w:rPr>
          <w:rFonts w:ascii="Source Sans Pro" w:hAnsi="Source Sans Pro"/>
          <w:sz w:val="24"/>
          <w:szCs w:val="24"/>
        </w:rPr>
        <w:t>32</w:t>
      </w:r>
      <w:r w:rsidRPr="00DE3687">
        <w:rPr>
          <w:rFonts w:ascii="Source Sans Pro" w:hAnsi="Source Sans Pro"/>
          <w:sz w:val="24"/>
          <w:szCs w:val="24"/>
        </w:rPr>
        <w:t xml:space="preserve"> EUR</w:t>
      </w:r>
    </w:p>
    <w:p w14:paraId="4CE84C55" w14:textId="06C5326C" w:rsidR="004A264C" w:rsidRPr="00DE3687" w:rsidRDefault="004A264C" w:rsidP="00ED06B0">
      <w:pPr>
        <w:spacing w:line="360" w:lineRule="auto"/>
        <w:ind w:left="118" w:right="116" w:firstLine="3"/>
        <w:jc w:val="both"/>
        <w:rPr>
          <w:rFonts w:ascii="Source Sans Pro" w:hAnsi="Source Sans Pro"/>
          <w:sz w:val="24"/>
          <w:szCs w:val="24"/>
        </w:rPr>
      </w:pPr>
    </w:p>
    <w:p w14:paraId="7558D90B" w14:textId="5D8AAAF8" w:rsidR="004A264C" w:rsidRPr="00DE3687" w:rsidRDefault="00553B31" w:rsidP="00A25A86">
      <w:pPr>
        <w:spacing w:after="120" w:line="360" w:lineRule="auto"/>
        <w:ind w:left="118" w:right="116" w:firstLine="3"/>
        <w:jc w:val="both"/>
        <w:rPr>
          <w:rFonts w:ascii="Source Sans Pro" w:eastAsia="Arial" w:hAnsi="Source Sans Pro" w:cs="Arial"/>
          <w:b/>
          <w:bCs/>
          <w:color w:val="0095FF"/>
          <w:sz w:val="32"/>
          <w:szCs w:val="32"/>
        </w:rPr>
      </w:pPr>
      <w:r w:rsidRPr="00DE3687">
        <w:rPr>
          <w:rFonts w:ascii="Source Sans Pro" w:eastAsia="Arial" w:hAnsi="Source Sans Pro" w:cs="Arial"/>
          <w:b/>
          <w:bCs/>
          <w:color w:val="0095FF"/>
          <w:sz w:val="32"/>
          <w:szCs w:val="32"/>
        </w:rPr>
        <w:t>Moda 21 – C11 | Descarbonização da atividade da Moda 21</w:t>
      </w:r>
    </w:p>
    <w:p w14:paraId="2BCDE4F4" w14:textId="77777777" w:rsidR="00553B31" w:rsidRPr="00DE3687" w:rsidRDefault="00553B31" w:rsidP="00A25A86">
      <w:pPr>
        <w:spacing w:after="120" w:line="360" w:lineRule="auto"/>
        <w:ind w:left="118" w:right="116" w:firstLine="3"/>
        <w:jc w:val="both"/>
        <w:rPr>
          <w:rFonts w:ascii="Source Sans Pro" w:hAnsi="Source Sans Pro"/>
        </w:rPr>
      </w:pPr>
    </w:p>
    <w:p w14:paraId="476A1B30" w14:textId="1341F49B" w:rsidR="00553B31" w:rsidRPr="00DE3687" w:rsidRDefault="00553B31" w:rsidP="00553B31">
      <w:pPr>
        <w:pStyle w:val="NormalWeb"/>
        <w:shd w:val="clear" w:color="auto" w:fill="FFFFFF"/>
        <w:spacing w:before="0" w:beforeAutospacing="0" w:after="300" w:afterAutospacing="0" w:line="360" w:lineRule="auto"/>
        <w:jc w:val="both"/>
        <w:rPr>
          <w:rFonts w:ascii="Source Sans Pro" w:hAnsi="Source Sans Pro"/>
          <w:color w:val="000000"/>
        </w:rPr>
      </w:pPr>
      <w:r w:rsidRPr="00DE3687">
        <w:rPr>
          <w:rFonts w:ascii="Source Sans Pro" w:hAnsi="Source Sans Pro"/>
          <w:color w:val="000000"/>
        </w:rPr>
        <w:t>Com a implementação do presente projeto, a Moda 21 almeja reduzir drasticamente o impacto da sua atividade a nível ambiental e energético. Para tal, irá reformular os seus fluxos produtivos, tendo em vista a descarbonização dos processos de produção de energia térmica, alterando de forma substancial as fontes energéticas atualmente utilizadas (incorporação de biomassa no fluxo energético da empresa). Este investimento apresentará um contributo direto para as metas nacionais, definidas nos planos nacionais para o setor (PNEC, RNC, entre outros), alcançando os seguintes objetivos:</w:t>
      </w:r>
    </w:p>
    <w:p w14:paraId="487EA55F" w14:textId="77777777" w:rsidR="00DE3687" w:rsidRDefault="00553B31" w:rsidP="00553B31">
      <w:pPr>
        <w:pStyle w:val="NormalWeb"/>
        <w:shd w:val="clear" w:color="auto" w:fill="FFFFFF"/>
        <w:spacing w:before="0" w:beforeAutospacing="0" w:after="300" w:afterAutospacing="0" w:line="360" w:lineRule="auto"/>
        <w:jc w:val="both"/>
        <w:rPr>
          <w:rFonts w:ascii="Source Sans Pro" w:hAnsi="Source Sans Pro"/>
          <w:color w:val="000000"/>
        </w:rPr>
      </w:pPr>
      <w:r w:rsidRPr="00DE3687">
        <w:rPr>
          <w:rFonts w:ascii="Source Sans Pro" w:hAnsi="Source Sans Pro"/>
          <w:color w:val="000000"/>
        </w:rPr>
        <w:t>1 – Redução das emissões absolutas da Moda 21, cifrando-se esta redução em 8.407,15 tonCO2/ano;</w:t>
      </w:r>
    </w:p>
    <w:p w14:paraId="555F012D" w14:textId="16515034" w:rsidR="00553B31" w:rsidRPr="00DE3687" w:rsidRDefault="00553B31" w:rsidP="00553B31">
      <w:pPr>
        <w:pStyle w:val="NormalWeb"/>
        <w:shd w:val="clear" w:color="auto" w:fill="FFFFFF"/>
        <w:spacing w:before="0" w:beforeAutospacing="0" w:after="300" w:afterAutospacing="0" w:line="360" w:lineRule="auto"/>
        <w:jc w:val="both"/>
        <w:rPr>
          <w:rFonts w:ascii="Source Sans Pro" w:hAnsi="Source Sans Pro"/>
          <w:color w:val="000000"/>
        </w:rPr>
      </w:pPr>
      <w:r w:rsidRPr="00DE3687">
        <w:rPr>
          <w:rFonts w:ascii="Source Sans Pro" w:hAnsi="Source Sans Pro"/>
          <w:color w:val="000000"/>
        </w:rPr>
        <w:t xml:space="preserve">2 – Redução de 63% nas emissões absolutas GEE, face ao ano </w:t>
      </w:r>
      <w:proofErr w:type="spellStart"/>
      <w:r w:rsidRPr="00DE3687">
        <w:rPr>
          <w:rFonts w:ascii="Source Sans Pro" w:hAnsi="Source Sans Pro"/>
          <w:color w:val="000000"/>
        </w:rPr>
        <w:t>pré-projeto</w:t>
      </w:r>
      <w:proofErr w:type="spellEnd"/>
      <w:r w:rsidRPr="00DE3687">
        <w:rPr>
          <w:rFonts w:ascii="Source Sans Pro" w:hAnsi="Source Sans Pro"/>
          <w:color w:val="000000"/>
        </w:rPr>
        <w:t xml:space="preserve"> (2020);</w:t>
      </w:r>
    </w:p>
    <w:p w14:paraId="69659103" w14:textId="77777777" w:rsidR="00553B31" w:rsidRPr="00DE3687" w:rsidRDefault="00553B31" w:rsidP="00553B31">
      <w:pPr>
        <w:pStyle w:val="NormalWeb"/>
        <w:shd w:val="clear" w:color="auto" w:fill="FFFFFF"/>
        <w:spacing w:before="0" w:beforeAutospacing="0" w:after="300" w:afterAutospacing="0" w:line="360" w:lineRule="auto"/>
        <w:jc w:val="both"/>
        <w:rPr>
          <w:rFonts w:ascii="Source Sans Pro" w:hAnsi="Source Sans Pro"/>
          <w:color w:val="000000"/>
        </w:rPr>
      </w:pPr>
      <w:r w:rsidRPr="00DE3687">
        <w:rPr>
          <w:rFonts w:ascii="Source Sans Pro" w:hAnsi="Source Sans Pro"/>
          <w:color w:val="000000"/>
        </w:rPr>
        <w:t xml:space="preserve">3 – Redução de 43,3% no consumo energético da unidade industrial a intervencionar, face ao ano </w:t>
      </w:r>
      <w:proofErr w:type="spellStart"/>
      <w:r w:rsidRPr="00DE3687">
        <w:rPr>
          <w:rFonts w:ascii="Source Sans Pro" w:hAnsi="Source Sans Pro"/>
          <w:color w:val="000000"/>
        </w:rPr>
        <w:t>pré-projeto</w:t>
      </w:r>
      <w:proofErr w:type="spellEnd"/>
      <w:r w:rsidRPr="00DE3687">
        <w:rPr>
          <w:rFonts w:ascii="Source Sans Pro" w:hAnsi="Source Sans Pro"/>
          <w:color w:val="000000"/>
        </w:rPr>
        <w:t>;</w:t>
      </w:r>
    </w:p>
    <w:p w14:paraId="68F980F9" w14:textId="77777777" w:rsidR="00553B31" w:rsidRPr="00DE3687" w:rsidRDefault="00553B31" w:rsidP="00553B31">
      <w:pPr>
        <w:pStyle w:val="NormalWeb"/>
        <w:shd w:val="clear" w:color="auto" w:fill="FFFFFF"/>
        <w:spacing w:before="0" w:beforeAutospacing="0" w:after="300" w:afterAutospacing="0" w:line="360" w:lineRule="auto"/>
        <w:jc w:val="both"/>
        <w:rPr>
          <w:rFonts w:ascii="Source Sans Pro" w:hAnsi="Source Sans Pro"/>
          <w:color w:val="000000"/>
        </w:rPr>
      </w:pPr>
      <w:r w:rsidRPr="00DE3687">
        <w:rPr>
          <w:rFonts w:ascii="Source Sans Pro" w:hAnsi="Source Sans Pro"/>
          <w:color w:val="000000"/>
        </w:rPr>
        <w:lastRenderedPageBreak/>
        <w:t>4 – Implementação de metodologias inovadoras e disruptivas, assentes em tecnologias maduras, aliando os conceitos de economia circular, transição digital e energética;</w:t>
      </w:r>
    </w:p>
    <w:p w14:paraId="4CA1DDA6" w14:textId="12310E85" w:rsidR="00553B31" w:rsidRDefault="00553B31" w:rsidP="00553B31">
      <w:pPr>
        <w:pStyle w:val="NormalWeb"/>
        <w:shd w:val="clear" w:color="auto" w:fill="FFFFFF"/>
        <w:spacing w:before="0" w:beforeAutospacing="0" w:after="300" w:afterAutospacing="0" w:line="360" w:lineRule="auto"/>
        <w:jc w:val="both"/>
        <w:rPr>
          <w:rFonts w:ascii="Source Sans Pro" w:hAnsi="Source Sans Pro"/>
          <w:color w:val="000000"/>
        </w:rPr>
      </w:pPr>
      <w:r w:rsidRPr="00DE3687">
        <w:rPr>
          <w:rFonts w:ascii="Source Sans Pro" w:hAnsi="Source Sans Pro"/>
          <w:color w:val="000000"/>
        </w:rPr>
        <w:t xml:space="preserve">5 – Implementação de um projeto ambientalmente e financeiramente viável, com um </w:t>
      </w:r>
      <w:proofErr w:type="spellStart"/>
      <w:r w:rsidRPr="00DE3687">
        <w:rPr>
          <w:rFonts w:ascii="Source Sans Pro" w:hAnsi="Source Sans Pro"/>
          <w:color w:val="000000"/>
        </w:rPr>
        <w:t>payback</w:t>
      </w:r>
      <w:proofErr w:type="spellEnd"/>
      <w:r w:rsidRPr="00DE3687">
        <w:rPr>
          <w:rFonts w:ascii="Source Sans Pro" w:hAnsi="Source Sans Pro"/>
          <w:color w:val="000000"/>
        </w:rPr>
        <w:t xml:space="preserve"> médio de 1,31 anos.</w:t>
      </w:r>
    </w:p>
    <w:p w14:paraId="7F06AEB9" w14:textId="77777777" w:rsidR="009E6983" w:rsidRPr="00DE3687" w:rsidRDefault="009E6983" w:rsidP="00553B31">
      <w:pPr>
        <w:pStyle w:val="NormalWeb"/>
        <w:shd w:val="clear" w:color="auto" w:fill="FFFFFF"/>
        <w:spacing w:before="0" w:beforeAutospacing="0" w:after="300" w:afterAutospacing="0" w:line="360" w:lineRule="auto"/>
        <w:jc w:val="both"/>
        <w:rPr>
          <w:rFonts w:ascii="Source Sans Pro" w:hAnsi="Source Sans Pro"/>
          <w:color w:val="000000"/>
        </w:rPr>
      </w:pPr>
    </w:p>
    <w:p w14:paraId="78C101A4" w14:textId="10687AF6" w:rsidR="00553B31" w:rsidRPr="00DE3687" w:rsidRDefault="00553B31" w:rsidP="00553B31">
      <w:pPr>
        <w:pStyle w:val="NormalWeb"/>
        <w:shd w:val="clear" w:color="auto" w:fill="FFFFFF"/>
        <w:spacing w:before="0" w:beforeAutospacing="0" w:after="300" w:afterAutospacing="0" w:line="360" w:lineRule="auto"/>
        <w:jc w:val="both"/>
        <w:rPr>
          <w:rFonts w:ascii="Source Sans Pro" w:hAnsi="Source Sans Pro"/>
          <w:color w:val="000000"/>
        </w:rPr>
      </w:pPr>
      <w:r w:rsidRPr="00DE3687">
        <w:rPr>
          <w:rFonts w:ascii="Source Sans Pro" w:hAnsi="Source Sans Pro"/>
          <w:color w:val="000000"/>
        </w:rPr>
        <w:t>O presente projeto será financiado através de fundos comunitários, no âmbito de uma candidatura apresentada à Componente C11, do Programa de Recuperação e Resiliência (PRR).</w:t>
      </w:r>
    </w:p>
    <w:p w14:paraId="0429E5B5" w14:textId="77777777" w:rsidR="009E6983" w:rsidRDefault="009E6983" w:rsidP="009E6983">
      <w:pPr>
        <w:pStyle w:val="NormalWeb"/>
        <w:shd w:val="clear" w:color="auto" w:fill="FFFFFF"/>
        <w:spacing w:before="0" w:beforeAutospacing="0" w:after="300" w:afterAutospacing="0" w:line="360" w:lineRule="auto"/>
        <w:jc w:val="both"/>
        <w:rPr>
          <w:rFonts w:ascii="Source Sans Pro" w:hAnsi="Source Sans Pro"/>
          <w:color w:val="000000"/>
        </w:rPr>
      </w:pPr>
    </w:p>
    <w:p w14:paraId="565DF82A" w14:textId="77777777" w:rsidR="009E6983" w:rsidRDefault="009E6983" w:rsidP="009E6983">
      <w:pPr>
        <w:pStyle w:val="NormalWeb"/>
        <w:shd w:val="clear" w:color="auto" w:fill="FFFFFF"/>
        <w:spacing w:before="0" w:beforeAutospacing="0" w:after="300" w:afterAutospacing="0" w:line="360" w:lineRule="auto"/>
        <w:jc w:val="both"/>
        <w:rPr>
          <w:rFonts w:ascii="Source Sans Pro" w:hAnsi="Source Sans Pro"/>
          <w:color w:val="000000"/>
        </w:rPr>
      </w:pPr>
    </w:p>
    <w:p w14:paraId="6E0651ED" w14:textId="77777777" w:rsidR="009E6983" w:rsidRDefault="009E6983" w:rsidP="009E6983">
      <w:pPr>
        <w:pStyle w:val="NormalWeb"/>
        <w:shd w:val="clear" w:color="auto" w:fill="FFFFFF"/>
        <w:spacing w:before="0" w:beforeAutospacing="0" w:after="300" w:afterAutospacing="0" w:line="360" w:lineRule="auto"/>
        <w:jc w:val="both"/>
        <w:rPr>
          <w:rFonts w:ascii="Source Sans Pro" w:hAnsi="Source Sans Pro"/>
          <w:color w:val="000000"/>
        </w:rPr>
      </w:pPr>
    </w:p>
    <w:p w14:paraId="0381D5CE" w14:textId="77777777" w:rsidR="009E6983" w:rsidRDefault="009E6983" w:rsidP="009E6983">
      <w:pPr>
        <w:spacing w:line="360" w:lineRule="auto"/>
        <w:ind w:left="4320"/>
        <w:jc w:val="both"/>
        <w:rPr>
          <w:rFonts w:ascii="Source Sans Pro" w:hAnsi="Source Sans Pro" w:cs="Calibri Light"/>
          <w:b/>
        </w:rPr>
      </w:pPr>
      <w:r>
        <w:rPr>
          <w:rFonts w:ascii="Source Sans Pro" w:hAnsi="Source Sans Pro" w:cs="Calibri Light"/>
          <w:b/>
        </w:rPr>
        <w:t>Entidade Consultora:</w:t>
      </w:r>
      <w:r>
        <w:rPr>
          <w:rFonts w:ascii="Source Sans Pro" w:hAnsi="Source Sans Pro" w:cs="Calibri Light"/>
        </w:rPr>
        <w:t xml:space="preserve"> B&amp;F consultores, Lda.</w:t>
      </w:r>
    </w:p>
    <w:p w14:paraId="26F3F81C" w14:textId="4A6A313E" w:rsidR="009E6983" w:rsidRDefault="009E6983" w:rsidP="009E6983">
      <w:pPr>
        <w:spacing w:line="360" w:lineRule="auto"/>
        <w:ind w:left="5760" w:firstLine="720"/>
        <w:jc w:val="both"/>
        <w:rPr>
          <w:rFonts w:ascii="Calibri Light" w:hAnsi="Calibri Light" w:cs="Calibri Light"/>
        </w:rPr>
      </w:pPr>
      <w:r>
        <w:rPr>
          <w:rFonts w:ascii="Calibri Light" w:hAnsi="Calibri Light" w:cs="Calibri Light"/>
          <w:noProof/>
        </w:rPr>
        <w:drawing>
          <wp:inline distT="0" distB="0" distL="0" distR="0" wp14:anchorId="1BC232F7" wp14:editId="40EFCBCC">
            <wp:extent cx="990600" cy="466725"/>
            <wp:effectExtent l="0" t="0" r="0" b="9525"/>
            <wp:docPr id="513119499" name="Imagem 1" descr="Uma imagem com captura de ecrã, Gráficos, Tipo de letra,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19499" name="Imagem 1" descr="Uma imagem com captura de ecrã, Gráficos, Tipo de letra, design gráfico&#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466725"/>
                    </a:xfrm>
                    <a:prstGeom prst="rect">
                      <a:avLst/>
                    </a:prstGeom>
                    <a:noFill/>
                    <a:ln>
                      <a:noFill/>
                    </a:ln>
                  </pic:spPr>
                </pic:pic>
              </a:graphicData>
            </a:graphic>
          </wp:inline>
        </w:drawing>
      </w:r>
    </w:p>
    <w:sectPr w:rsidR="009E6983" w:rsidSect="004A264C">
      <w:headerReference w:type="default" r:id="rId8"/>
      <w:pgSz w:w="11910" w:h="16840"/>
      <w:pgMar w:top="1843"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403D" w14:textId="77777777" w:rsidR="008443DE" w:rsidRDefault="008443DE">
      <w:r>
        <w:separator/>
      </w:r>
    </w:p>
  </w:endnote>
  <w:endnote w:type="continuationSeparator" w:id="0">
    <w:p w14:paraId="407A4E4E" w14:textId="77777777" w:rsidR="008443DE" w:rsidRDefault="0084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FD6B" w14:textId="77777777" w:rsidR="008443DE" w:rsidRDefault="008443DE">
      <w:r>
        <w:separator/>
      </w:r>
    </w:p>
  </w:footnote>
  <w:footnote w:type="continuationSeparator" w:id="0">
    <w:p w14:paraId="1B45B7B2" w14:textId="77777777" w:rsidR="008443DE" w:rsidRDefault="0084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E775" w14:textId="0FD9CD7F" w:rsidR="00300403" w:rsidRDefault="004A264C">
    <w:pPr>
      <w:pStyle w:val="Corpodetexto"/>
      <w:spacing w:line="14" w:lineRule="auto"/>
      <w:rPr>
        <w:sz w:val="2"/>
      </w:rPr>
    </w:pPr>
    <w:r>
      <w:rPr>
        <w:noProof/>
      </w:rPr>
      <w:drawing>
        <wp:anchor distT="0" distB="0" distL="0" distR="0" simplePos="0" relativeHeight="251659264" behindDoc="0" locked="0" layoutInCell="1" allowOverlap="1" wp14:anchorId="31AD43D3" wp14:editId="5A5F45E6">
          <wp:simplePos x="0" y="0"/>
          <wp:positionH relativeFrom="page">
            <wp:posOffset>1412875</wp:posOffset>
          </wp:positionH>
          <wp:positionV relativeFrom="paragraph">
            <wp:posOffset>-95250</wp:posOffset>
          </wp:positionV>
          <wp:extent cx="4571999" cy="422909"/>
          <wp:effectExtent l="0" t="0" r="635" b="0"/>
          <wp:wrapTopAndBottom/>
          <wp:docPr id="634248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571999" cy="4229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630E"/>
    <w:multiLevelType w:val="hybridMultilevel"/>
    <w:tmpl w:val="D1368DDC"/>
    <w:lvl w:ilvl="0" w:tplc="0816000F">
      <w:start w:val="1"/>
      <w:numFmt w:val="decimal"/>
      <w:lvlText w:val="%1."/>
      <w:lvlJc w:val="left"/>
      <w:pPr>
        <w:ind w:left="841" w:hanging="360"/>
      </w:pPr>
    </w:lvl>
    <w:lvl w:ilvl="1" w:tplc="08160019" w:tentative="1">
      <w:start w:val="1"/>
      <w:numFmt w:val="lowerLetter"/>
      <w:lvlText w:val="%2."/>
      <w:lvlJc w:val="left"/>
      <w:pPr>
        <w:ind w:left="1561" w:hanging="360"/>
      </w:pPr>
    </w:lvl>
    <w:lvl w:ilvl="2" w:tplc="0816001B" w:tentative="1">
      <w:start w:val="1"/>
      <w:numFmt w:val="lowerRoman"/>
      <w:lvlText w:val="%3."/>
      <w:lvlJc w:val="right"/>
      <w:pPr>
        <w:ind w:left="2281" w:hanging="180"/>
      </w:pPr>
    </w:lvl>
    <w:lvl w:ilvl="3" w:tplc="0816000F" w:tentative="1">
      <w:start w:val="1"/>
      <w:numFmt w:val="decimal"/>
      <w:lvlText w:val="%4."/>
      <w:lvlJc w:val="left"/>
      <w:pPr>
        <w:ind w:left="3001" w:hanging="360"/>
      </w:pPr>
    </w:lvl>
    <w:lvl w:ilvl="4" w:tplc="08160019" w:tentative="1">
      <w:start w:val="1"/>
      <w:numFmt w:val="lowerLetter"/>
      <w:lvlText w:val="%5."/>
      <w:lvlJc w:val="left"/>
      <w:pPr>
        <w:ind w:left="3721" w:hanging="360"/>
      </w:pPr>
    </w:lvl>
    <w:lvl w:ilvl="5" w:tplc="0816001B" w:tentative="1">
      <w:start w:val="1"/>
      <w:numFmt w:val="lowerRoman"/>
      <w:lvlText w:val="%6."/>
      <w:lvlJc w:val="right"/>
      <w:pPr>
        <w:ind w:left="4441" w:hanging="180"/>
      </w:pPr>
    </w:lvl>
    <w:lvl w:ilvl="6" w:tplc="0816000F" w:tentative="1">
      <w:start w:val="1"/>
      <w:numFmt w:val="decimal"/>
      <w:lvlText w:val="%7."/>
      <w:lvlJc w:val="left"/>
      <w:pPr>
        <w:ind w:left="5161" w:hanging="360"/>
      </w:pPr>
    </w:lvl>
    <w:lvl w:ilvl="7" w:tplc="08160019" w:tentative="1">
      <w:start w:val="1"/>
      <w:numFmt w:val="lowerLetter"/>
      <w:lvlText w:val="%8."/>
      <w:lvlJc w:val="left"/>
      <w:pPr>
        <w:ind w:left="5881" w:hanging="360"/>
      </w:pPr>
    </w:lvl>
    <w:lvl w:ilvl="8" w:tplc="0816001B" w:tentative="1">
      <w:start w:val="1"/>
      <w:numFmt w:val="lowerRoman"/>
      <w:lvlText w:val="%9."/>
      <w:lvlJc w:val="right"/>
      <w:pPr>
        <w:ind w:left="6601" w:hanging="180"/>
      </w:pPr>
    </w:lvl>
  </w:abstractNum>
  <w:abstractNum w:abstractNumId="1" w15:restartNumberingAfterBreak="0">
    <w:nsid w:val="4EDA4D4E"/>
    <w:multiLevelType w:val="hybridMultilevel"/>
    <w:tmpl w:val="D5EC6626"/>
    <w:lvl w:ilvl="0" w:tplc="5E3ED138">
      <w:numFmt w:val="bullet"/>
      <w:lvlText w:val=""/>
      <w:lvlJc w:val="left"/>
      <w:pPr>
        <w:ind w:left="842" w:hanging="360"/>
      </w:pPr>
      <w:rPr>
        <w:rFonts w:ascii="Symbol" w:eastAsia="Symbol" w:hAnsi="Symbol" w:cs="Symbol" w:hint="default"/>
        <w:w w:val="100"/>
        <w:sz w:val="22"/>
        <w:szCs w:val="22"/>
        <w:lang w:val="pt-PT" w:eastAsia="en-US" w:bidi="ar-SA"/>
      </w:rPr>
    </w:lvl>
    <w:lvl w:ilvl="1" w:tplc="D32CE114">
      <w:numFmt w:val="bullet"/>
      <w:lvlText w:val="•"/>
      <w:lvlJc w:val="left"/>
      <w:pPr>
        <w:ind w:left="1630" w:hanging="360"/>
      </w:pPr>
      <w:rPr>
        <w:rFonts w:hint="default"/>
        <w:lang w:val="pt-PT" w:eastAsia="en-US" w:bidi="ar-SA"/>
      </w:rPr>
    </w:lvl>
    <w:lvl w:ilvl="2" w:tplc="811EF90C">
      <w:numFmt w:val="bullet"/>
      <w:lvlText w:val="•"/>
      <w:lvlJc w:val="left"/>
      <w:pPr>
        <w:ind w:left="2421" w:hanging="360"/>
      </w:pPr>
      <w:rPr>
        <w:rFonts w:hint="default"/>
        <w:lang w:val="pt-PT" w:eastAsia="en-US" w:bidi="ar-SA"/>
      </w:rPr>
    </w:lvl>
    <w:lvl w:ilvl="3" w:tplc="E384D912">
      <w:numFmt w:val="bullet"/>
      <w:lvlText w:val="•"/>
      <w:lvlJc w:val="left"/>
      <w:pPr>
        <w:ind w:left="3211" w:hanging="360"/>
      </w:pPr>
      <w:rPr>
        <w:rFonts w:hint="default"/>
        <w:lang w:val="pt-PT" w:eastAsia="en-US" w:bidi="ar-SA"/>
      </w:rPr>
    </w:lvl>
    <w:lvl w:ilvl="4" w:tplc="43AEE5CC">
      <w:numFmt w:val="bullet"/>
      <w:lvlText w:val="•"/>
      <w:lvlJc w:val="left"/>
      <w:pPr>
        <w:ind w:left="4002" w:hanging="360"/>
      </w:pPr>
      <w:rPr>
        <w:rFonts w:hint="default"/>
        <w:lang w:val="pt-PT" w:eastAsia="en-US" w:bidi="ar-SA"/>
      </w:rPr>
    </w:lvl>
    <w:lvl w:ilvl="5" w:tplc="514EAA06">
      <w:numFmt w:val="bullet"/>
      <w:lvlText w:val="•"/>
      <w:lvlJc w:val="left"/>
      <w:pPr>
        <w:ind w:left="4793" w:hanging="360"/>
      </w:pPr>
      <w:rPr>
        <w:rFonts w:hint="default"/>
        <w:lang w:val="pt-PT" w:eastAsia="en-US" w:bidi="ar-SA"/>
      </w:rPr>
    </w:lvl>
    <w:lvl w:ilvl="6" w:tplc="4EDA7A60">
      <w:numFmt w:val="bullet"/>
      <w:lvlText w:val="•"/>
      <w:lvlJc w:val="left"/>
      <w:pPr>
        <w:ind w:left="5583" w:hanging="360"/>
      </w:pPr>
      <w:rPr>
        <w:rFonts w:hint="default"/>
        <w:lang w:val="pt-PT" w:eastAsia="en-US" w:bidi="ar-SA"/>
      </w:rPr>
    </w:lvl>
    <w:lvl w:ilvl="7" w:tplc="2D22CC2E">
      <w:numFmt w:val="bullet"/>
      <w:lvlText w:val="•"/>
      <w:lvlJc w:val="left"/>
      <w:pPr>
        <w:ind w:left="6374" w:hanging="360"/>
      </w:pPr>
      <w:rPr>
        <w:rFonts w:hint="default"/>
        <w:lang w:val="pt-PT" w:eastAsia="en-US" w:bidi="ar-SA"/>
      </w:rPr>
    </w:lvl>
    <w:lvl w:ilvl="8" w:tplc="A4C461B8">
      <w:numFmt w:val="bullet"/>
      <w:lvlText w:val="•"/>
      <w:lvlJc w:val="left"/>
      <w:pPr>
        <w:ind w:left="7165" w:hanging="360"/>
      </w:pPr>
      <w:rPr>
        <w:rFonts w:hint="default"/>
        <w:lang w:val="pt-PT" w:eastAsia="en-US" w:bidi="ar-SA"/>
      </w:rPr>
    </w:lvl>
  </w:abstractNum>
  <w:abstractNum w:abstractNumId="2" w15:restartNumberingAfterBreak="0">
    <w:nsid w:val="5780098D"/>
    <w:multiLevelType w:val="hybridMultilevel"/>
    <w:tmpl w:val="46F243CE"/>
    <w:lvl w:ilvl="0" w:tplc="ABEAAF58">
      <w:start w:val="3"/>
      <w:numFmt w:val="decimal"/>
      <w:lvlText w:val="%1"/>
      <w:lvlJc w:val="left"/>
      <w:pPr>
        <w:ind w:left="121" w:hanging="171"/>
        <w:jc w:val="left"/>
      </w:pPr>
      <w:rPr>
        <w:rFonts w:ascii="Calibri" w:eastAsia="Calibri" w:hAnsi="Calibri" w:cs="Calibri" w:hint="default"/>
        <w:w w:val="100"/>
        <w:sz w:val="22"/>
        <w:szCs w:val="22"/>
        <w:lang w:val="pt-PT" w:eastAsia="en-US" w:bidi="ar-SA"/>
      </w:rPr>
    </w:lvl>
    <w:lvl w:ilvl="1" w:tplc="3F3EA150">
      <w:numFmt w:val="bullet"/>
      <w:lvlText w:val="•"/>
      <w:lvlJc w:val="left"/>
      <w:pPr>
        <w:ind w:left="982" w:hanging="171"/>
      </w:pPr>
      <w:rPr>
        <w:rFonts w:hint="default"/>
        <w:lang w:val="pt-PT" w:eastAsia="en-US" w:bidi="ar-SA"/>
      </w:rPr>
    </w:lvl>
    <w:lvl w:ilvl="2" w:tplc="0D0240D6">
      <w:numFmt w:val="bullet"/>
      <w:lvlText w:val="•"/>
      <w:lvlJc w:val="left"/>
      <w:pPr>
        <w:ind w:left="1845" w:hanging="171"/>
      </w:pPr>
      <w:rPr>
        <w:rFonts w:hint="default"/>
        <w:lang w:val="pt-PT" w:eastAsia="en-US" w:bidi="ar-SA"/>
      </w:rPr>
    </w:lvl>
    <w:lvl w:ilvl="3" w:tplc="A648B324">
      <w:numFmt w:val="bullet"/>
      <w:lvlText w:val="•"/>
      <w:lvlJc w:val="left"/>
      <w:pPr>
        <w:ind w:left="2707" w:hanging="171"/>
      </w:pPr>
      <w:rPr>
        <w:rFonts w:hint="default"/>
        <w:lang w:val="pt-PT" w:eastAsia="en-US" w:bidi="ar-SA"/>
      </w:rPr>
    </w:lvl>
    <w:lvl w:ilvl="4" w:tplc="015C6B6C">
      <w:numFmt w:val="bullet"/>
      <w:lvlText w:val="•"/>
      <w:lvlJc w:val="left"/>
      <w:pPr>
        <w:ind w:left="3570" w:hanging="171"/>
      </w:pPr>
      <w:rPr>
        <w:rFonts w:hint="default"/>
        <w:lang w:val="pt-PT" w:eastAsia="en-US" w:bidi="ar-SA"/>
      </w:rPr>
    </w:lvl>
    <w:lvl w:ilvl="5" w:tplc="727EE98C">
      <w:numFmt w:val="bullet"/>
      <w:lvlText w:val="•"/>
      <w:lvlJc w:val="left"/>
      <w:pPr>
        <w:ind w:left="4433" w:hanging="171"/>
      </w:pPr>
      <w:rPr>
        <w:rFonts w:hint="default"/>
        <w:lang w:val="pt-PT" w:eastAsia="en-US" w:bidi="ar-SA"/>
      </w:rPr>
    </w:lvl>
    <w:lvl w:ilvl="6" w:tplc="2438E97A">
      <w:numFmt w:val="bullet"/>
      <w:lvlText w:val="•"/>
      <w:lvlJc w:val="left"/>
      <w:pPr>
        <w:ind w:left="5295" w:hanging="171"/>
      </w:pPr>
      <w:rPr>
        <w:rFonts w:hint="default"/>
        <w:lang w:val="pt-PT" w:eastAsia="en-US" w:bidi="ar-SA"/>
      </w:rPr>
    </w:lvl>
    <w:lvl w:ilvl="7" w:tplc="6F602818">
      <w:numFmt w:val="bullet"/>
      <w:lvlText w:val="•"/>
      <w:lvlJc w:val="left"/>
      <w:pPr>
        <w:ind w:left="6158" w:hanging="171"/>
      </w:pPr>
      <w:rPr>
        <w:rFonts w:hint="default"/>
        <w:lang w:val="pt-PT" w:eastAsia="en-US" w:bidi="ar-SA"/>
      </w:rPr>
    </w:lvl>
    <w:lvl w:ilvl="8" w:tplc="6ABC14CC">
      <w:numFmt w:val="bullet"/>
      <w:lvlText w:val="•"/>
      <w:lvlJc w:val="left"/>
      <w:pPr>
        <w:ind w:left="7021" w:hanging="171"/>
      </w:pPr>
      <w:rPr>
        <w:rFonts w:hint="default"/>
        <w:lang w:val="pt-PT" w:eastAsia="en-US" w:bidi="ar-SA"/>
      </w:rPr>
    </w:lvl>
  </w:abstractNum>
  <w:num w:numId="1" w16cid:durableId="107820554">
    <w:abstractNumId w:val="1"/>
  </w:num>
  <w:num w:numId="2" w16cid:durableId="903176007">
    <w:abstractNumId w:val="2"/>
  </w:num>
  <w:num w:numId="3" w16cid:durableId="48401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0403"/>
    <w:rsid w:val="000233A0"/>
    <w:rsid w:val="0007795B"/>
    <w:rsid w:val="001E7C41"/>
    <w:rsid w:val="00280323"/>
    <w:rsid w:val="00300403"/>
    <w:rsid w:val="0037385F"/>
    <w:rsid w:val="00396A95"/>
    <w:rsid w:val="004A264C"/>
    <w:rsid w:val="004A36EE"/>
    <w:rsid w:val="004C57F4"/>
    <w:rsid w:val="00553B31"/>
    <w:rsid w:val="005C05C5"/>
    <w:rsid w:val="006B422A"/>
    <w:rsid w:val="006C56F5"/>
    <w:rsid w:val="008443DE"/>
    <w:rsid w:val="009E6983"/>
    <w:rsid w:val="00A25A86"/>
    <w:rsid w:val="00B7643F"/>
    <w:rsid w:val="00D42379"/>
    <w:rsid w:val="00DE3687"/>
    <w:rsid w:val="00E20D32"/>
    <w:rsid w:val="00ED06B0"/>
    <w:rsid w:val="00F1045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7B8B"/>
  <w15:docId w15:val="{26B6E284-4B4A-4833-A12E-13F614DF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4"/>
      <w:ind w:left="20" w:hanging="1"/>
      <w:outlineLvl w:val="0"/>
    </w:pPr>
    <w:rPr>
      <w:rFonts w:ascii="Arial" w:eastAsia="Arial" w:hAnsi="Arial" w:cs="Arial"/>
      <w:b/>
      <w:bCs/>
      <w:sz w:val="36"/>
      <w:szCs w:val="3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35"/>
      <w:ind w:left="842" w:hanging="361"/>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 w:type="paragraph" w:styleId="Cabealho">
    <w:name w:val="header"/>
    <w:basedOn w:val="Normal"/>
    <w:link w:val="CabealhoCarter"/>
    <w:uiPriority w:val="99"/>
    <w:unhideWhenUsed/>
    <w:rsid w:val="004A264C"/>
    <w:pPr>
      <w:tabs>
        <w:tab w:val="center" w:pos="4252"/>
        <w:tab w:val="right" w:pos="8504"/>
      </w:tabs>
    </w:pPr>
  </w:style>
  <w:style w:type="character" w:customStyle="1" w:styleId="CabealhoCarter">
    <w:name w:val="Cabeçalho Caráter"/>
    <w:basedOn w:val="Tipodeletrapredefinidodopargrafo"/>
    <w:link w:val="Cabealho"/>
    <w:uiPriority w:val="99"/>
    <w:rsid w:val="004A264C"/>
    <w:rPr>
      <w:rFonts w:ascii="Times New Roman" w:eastAsia="Times New Roman" w:hAnsi="Times New Roman" w:cs="Times New Roman"/>
      <w:lang w:val="pt-PT"/>
    </w:rPr>
  </w:style>
  <w:style w:type="paragraph" w:styleId="Rodap">
    <w:name w:val="footer"/>
    <w:basedOn w:val="Normal"/>
    <w:link w:val="RodapCarter"/>
    <w:uiPriority w:val="99"/>
    <w:unhideWhenUsed/>
    <w:rsid w:val="004A264C"/>
    <w:pPr>
      <w:tabs>
        <w:tab w:val="center" w:pos="4252"/>
        <w:tab w:val="right" w:pos="8504"/>
      </w:tabs>
    </w:pPr>
  </w:style>
  <w:style w:type="character" w:customStyle="1" w:styleId="RodapCarter">
    <w:name w:val="Rodapé Caráter"/>
    <w:basedOn w:val="Tipodeletrapredefinidodopargrafo"/>
    <w:link w:val="Rodap"/>
    <w:uiPriority w:val="99"/>
    <w:rsid w:val="004A264C"/>
    <w:rPr>
      <w:rFonts w:ascii="Times New Roman" w:eastAsia="Times New Roman" w:hAnsi="Times New Roman" w:cs="Times New Roman"/>
      <w:lang w:val="pt-PT"/>
    </w:rPr>
  </w:style>
  <w:style w:type="paragraph" w:styleId="NormalWeb">
    <w:name w:val="Normal (Web)"/>
    <w:basedOn w:val="Normal"/>
    <w:uiPriority w:val="99"/>
    <w:semiHidden/>
    <w:unhideWhenUsed/>
    <w:rsid w:val="00553B31"/>
    <w:pPr>
      <w:widowControl/>
      <w:autoSpaceDE/>
      <w:autoSpaceDN/>
      <w:spacing w:before="100" w:beforeAutospacing="1" w:after="100" w:afterAutospacing="1"/>
    </w:pPr>
    <w:rPr>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5635">
      <w:bodyDiv w:val="1"/>
      <w:marLeft w:val="0"/>
      <w:marRight w:val="0"/>
      <w:marTop w:val="0"/>
      <w:marBottom w:val="0"/>
      <w:divBdr>
        <w:top w:val="none" w:sz="0" w:space="0" w:color="auto"/>
        <w:left w:val="none" w:sz="0" w:space="0" w:color="auto"/>
        <w:bottom w:val="none" w:sz="0" w:space="0" w:color="auto"/>
        <w:right w:val="none" w:sz="0" w:space="0" w:color="auto"/>
      </w:divBdr>
    </w:div>
    <w:div w:id="1925190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pedroaraujo@bfconsultores.pt</dc:creator>
  <cp:lastModifiedBy>Pedro Araújo</cp:lastModifiedBy>
  <cp:revision>5</cp:revision>
  <dcterms:created xsi:type="dcterms:W3CDTF">2024-10-15T09:17:00Z</dcterms:created>
  <dcterms:modified xsi:type="dcterms:W3CDTF">2024-10-15T09:29:00Z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2013</vt:lpwstr>
  </property>
  <property fmtid="{D5CDD505-2E9C-101B-9397-08002B2CF9AE}" pid="4" name="LastSaved">
    <vt:filetime>2024-03-19T00:00:00Z</vt:filetime>
  </property>
</Properties>
</file>